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r>
        <w:rPr>
          <w:rFonts w:hint="eastAsia" w:ascii="Arial" w:hAnsi="Arial" w:cs="Arial"/>
          <w:b/>
          <w:lang w:val="en-US" w:eastAsia="zh-CN"/>
        </w:rPr>
        <w:t>9</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ab/>
      </w:r>
      <w:r>
        <w:rPr>
          <w:rFonts w:hint="eastAsia" w:ascii="Arial" w:hAnsi="Arial" w:cs="Arial"/>
          <w:b/>
          <w:bCs/>
          <w:lang w:val="en-US" w:eastAsia="zh-CN"/>
        </w:rPr>
        <w:t xml:space="preserve">   </w:t>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21392</w:t>
      </w:r>
    </w:p>
    <w:p>
      <w:pPr>
        <w:tabs>
          <w:tab w:val="left" w:pos="3106"/>
          <w:tab w:val="center" w:pos="4536"/>
          <w:tab w:val="right" w:pos="9072"/>
        </w:tabs>
        <w:jc w:val="both"/>
        <w:rPr>
          <w:rFonts w:ascii="Arial" w:hAnsi="Arial" w:cs="Arial"/>
          <w:b/>
          <w:bCs/>
        </w:rPr>
      </w:pPr>
      <w:r>
        <w:rPr>
          <w:rFonts w:hint="eastAsia" w:ascii="Arial" w:hAnsi="Arial" w:cs="Arial"/>
          <w:b/>
          <w:bCs/>
        </w:rPr>
        <w:t xml:space="preserve">Chicago, US, November 13 </w:t>
      </w:r>
      <w:r>
        <w:rPr>
          <w:rFonts w:hint="eastAsia" w:ascii="Arial" w:hAnsi="Arial" w:cs="Arial"/>
          <w:b/>
          <w:bCs/>
          <w:lang w:val="en-US" w:eastAsia="zh-CN"/>
        </w:rPr>
        <w:t xml:space="preserve">- </w:t>
      </w:r>
      <w:r>
        <w:rPr>
          <w:rFonts w:hint="eastAsia" w:ascii="Arial" w:hAnsi="Arial" w:cs="Arial"/>
          <w:b/>
          <w:bCs/>
        </w:rPr>
        <w:t>17, 2023</w:t>
      </w:r>
    </w:p>
    <w:p>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bookmarkStart w:id="1" w:name="_Hlk492190689"/>
      <w:bookmarkStart w:id="2" w:name="_Hlk134973178"/>
    </w:p>
    <w:bookmarkEnd w:id="1"/>
    <w:p>
      <w:pPr>
        <w:spacing w:after="60"/>
        <w:ind w:left="1985" w:hanging="1985"/>
        <w:rPr>
          <w:rFonts w:hint="default" w:ascii="Arial" w:hAnsi="Arial" w:eastAsia="等线" w:cs="Arial"/>
          <w:sz w:val="20"/>
          <w:lang w:val="en-US"/>
        </w:rPr>
      </w:pPr>
      <w:r>
        <w:rPr>
          <w:rFonts w:ascii="Arial" w:hAnsi="Arial" w:eastAsia="等线" w:cs="Arial"/>
          <w:b/>
          <w:sz w:val="20"/>
        </w:rPr>
        <w:t>Title:</w:t>
      </w:r>
      <w:r>
        <w:rPr>
          <w:rFonts w:ascii="Arial" w:hAnsi="Arial" w:eastAsia="等线" w:cs="Arial"/>
          <w:b/>
          <w:sz w:val="20"/>
        </w:rPr>
        <w:tab/>
      </w:r>
      <w:r>
        <w:rPr>
          <w:rFonts w:ascii="Arial" w:hAnsi="Arial" w:eastAsia="等线" w:cs="Arial"/>
          <w:sz w:val="20"/>
        </w:rPr>
        <w:t xml:space="preserve">LS on </w:t>
      </w:r>
      <w:r>
        <w:rPr>
          <w:rFonts w:hint="eastAsia" w:ascii="Arial" w:hAnsi="Arial" w:eastAsia="等线" w:cs="Arial"/>
          <w:sz w:val="20"/>
          <w:lang w:val="en-US" w:eastAsia="zh-CN"/>
        </w:rPr>
        <w:t>Layer-1/2/3 ATG UE features and koffset mechanism</w:t>
      </w:r>
    </w:p>
    <w:p>
      <w:pPr>
        <w:spacing w:after="60"/>
        <w:ind w:left="1985" w:hanging="1985"/>
        <w:rPr>
          <w:rFonts w:ascii="Arial" w:hAnsi="Arial" w:eastAsia="等线" w:cs="Arial"/>
          <w:bCs/>
          <w:sz w:val="20"/>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w:t>
      </w:r>
      <w:r>
        <w:rPr>
          <w:rFonts w:ascii="Arial" w:hAnsi="Arial" w:eastAsia="等线" w:cs="Arial"/>
          <w:bCs/>
          <w:sz w:val="20"/>
        </w:rPr>
        <w:t>8</w:t>
      </w:r>
    </w:p>
    <w:p>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ascii="Arial" w:hAnsi="Arial" w:eastAsia="等线" w:cs="Arial"/>
          <w:bCs/>
          <w:sz w:val="20"/>
        </w:rPr>
        <w:t>NR_ATG</w:t>
      </w:r>
    </w:p>
    <w:p>
      <w:pPr>
        <w:spacing w:after="60"/>
        <w:ind w:left="1985" w:hanging="1985"/>
        <w:rPr>
          <w:rFonts w:ascii="Arial" w:hAnsi="Arial" w:eastAsia="等线" w:cs="Arial"/>
          <w:b/>
          <w:sz w:val="20"/>
        </w:rPr>
      </w:pPr>
    </w:p>
    <w:p>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pPr>
        <w:spacing w:after="60"/>
        <w:ind w:left="1985" w:hanging="1985"/>
        <w:rPr>
          <w:rFonts w:hint="default" w:ascii="Arial" w:hAnsi="Arial" w:eastAsia="宋体" w:cs="Arial"/>
          <w:bCs/>
          <w:sz w:val="20"/>
          <w:lang w:val="en-US" w:eastAsia="zh-CN"/>
        </w:rPr>
      </w:pPr>
      <w:r>
        <w:rPr>
          <w:rFonts w:ascii="Arial" w:hAnsi="Arial" w:eastAsia="等线" w:cs="Arial"/>
          <w:b/>
          <w:sz w:val="20"/>
        </w:rPr>
        <w:t>To:</w:t>
      </w:r>
      <w:r>
        <w:rPr>
          <w:rFonts w:ascii="Arial" w:hAnsi="Arial" w:eastAsia="等线" w:cs="Arial"/>
          <w:bCs/>
          <w:sz w:val="20"/>
        </w:rPr>
        <w:tab/>
      </w:r>
      <w:r>
        <w:rPr>
          <w:rFonts w:hint="eastAsia" w:ascii="Arial" w:hAnsi="Arial" w:eastAsia="宋体" w:cs="Arial"/>
          <w:bCs/>
          <w:sz w:val="20"/>
          <w:lang w:val="en-US" w:eastAsia="zh-CN"/>
        </w:rPr>
        <w:t xml:space="preserve">TSG RAN WG1, </w:t>
      </w:r>
      <w:r>
        <w:rPr>
          <w:rFonts w:ascii="Arial" w:hAnsi="Arial" w:eastAsia="等线" w:cs="Arial"/>
          <w:bCs/>
          <w:sz w:val="20"/>
        </w:rPr>
        <w:t xml:space="preserve">TSG </w:t>
      </w:r>
      <w:r>
        <w:rPr>
          <w:rFonts w:ascii="Arial" w:hAnsi="Arial" w:eastAsia="MS Mincho" w:cs="Arial"/>
          <w:bCs/>
          <w:sz w:val="20"/>
          <w:lang w:eastAsia="ja-JP"/>
        </w:rPr>
        <w:t>RAN WG2</w:t>
      </w:r>
    </w:p>
    <w:p>
      <w:pPr>
        <w:spacing w:after="60"/>
        <w:ind w:left="1985" w:hanging="1985"/>
        <w:rPr>
          <w:rFonts w:ascii="Arial" w:hAnsi="Arial" w:eastAsia="等线" w:cs="Arial"/>
          <w:bCs/>
          <w:sz w:val="20"/>
        </w:rPr>
      </w:pPr>
      <w:r>
        <w:rPr>
          <w:rFonts w:ascii="Arial" w:hAnsi="Arial" w:eastAsia="等线" w:cs="Arial"/>
          <w:b/>
          <w:sz w:val="20"/>
        </w:rPr>
        <w:t>Cc:</w:t>
      </w:r>
      <w:r>
        <w:rPr>
          <w:rFonts w:ascii="Arial" w:hAnsi="Arial" w:eastAsia="等线" w:cs="Arial"/>
          <w:bCs/>
          <w:sz w:val="20"/>
        </w:rPr>
        <w:tab/>
      </w:r>
    </w:p>
    <w:p>
      <w:pPr>
        <w:spacing w:after="60"/>
        <w:ind w:left="1985" w:hanging="1985"/>
        <w:rPr>
          <w:rFonts w:ascii="Arial" w:hAnsi="Arial" w:eastAsia="等线" w:cs="Arial"/>
          <w:bCs/>
          <w:sz w:val="20"/>
        </w:rPr>
      </w:pPr>
    </w:p>
    <w:p>
      <w:pPr>
        <w:tabs>
          <w:tab w:val="left" w:pos="2268"/>
        </w:tabs>
        <w:rPr>
          <w:rFonts w:ascii="Arial" w:hAnsi="Arial" w:eastAsia="等线" w:cs="Arial"/>
          <w:b/>
          <w:sz w:val="20"/>
        </w:rPr>
      </w:pPr>
      <w:r>
        <w:rPr>
          <w:rFonts w:ascii="Arial" w:hAnsi="Arial" w:eastAsia="等线" w:cs="Arial"/>
          <w:b/>
          <w:sz w:val="20"/>
        </w:rPr>
        <w:t>Contact Person:</w:t>
      </w:r>
    </w:p>
    <w:p>
      <w:pPr>
        <w:keepNext/>
        <w:tabs>
          <w:tab w:val="left" w:pos="2268"/>
          <w:tab w:val="left" w:pos="2694"/>
        </w:tabs>
        <w:ind w:left="567"/>
        <w:outlineLvl w:val="3"/>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r>
        <w:rPr>
          <w:rFonts w:ascii="Arial" w:hAnsi="Arial" w:eastAsia="宋体" w:cs="Arial"/>
          <w:bCs/>
          <w:sz w:val="20"/>
          <w:szCs w:val="20"/>
          <w:lang w:val="en-GB" w:eastAsia="en-US"/>
        </w:rPr>
        <w:t>Shiyuan Wang</w:t>
      </w:r>
    </w:p>
    <w:p>
      <w:pPr>
        <w:keepNext/>
        <w:tabs>
          <w:tab w:val="left" w:pos="2268"/>
          <w:tab w:val="left" w:pos="2694"/>
        </w:tabs>
        <w:ind w:left="567"/>
        <w:outlineLvl w:val="6"/>
        <w:rPr>
          <w:rFonts w:ascii="Arial" w:hAnsi="Arial" w:eastAsia="宋体" w:cs="Arial"/>
          <w:bCs/>
          <w:sz w:val="20"/>
          <w:szCs w:val="20"/>
          <w:lang w:val="en-GB" w:eastAsia="en-US"/>
        </w:rPr>
      </w:pPr>
      <w:r>
        <w:rPr>
          <w:rFonts w:ascii="Arial" w:hAnsi="Arial" w:eastAsia="宋体" w:cs="Arial"/>
          <w:b/>
          <w:sz w:val="20"/>
          <w:szCs w:val="20"/>
          <w:lang w:val="en-GB" w:eastAsia="en-US"/>
        </w:rPr>
        <w:t>E-mail Address:</w:t>
      </w:r>
      <w:r>
        <w:rPr>
          <w:rFonts w:ascii="Arial" w:hAnsi="Arial" w:eastAsia="宋体" w:cs="Arial"/>
          <w:bCs/>
          <w:sz w:val="20"/>
          <w:szCs w:val="20"/>
          <w:lang w:val="en-GB" w:eastAsia="en-US"/>
        </w:rPr>
        <w:tab/>
      </w:r>
      <w:r>
        <w:fldChar w:fldCharType="begin"/>
      </w:r>
      <w:r>
        <w:instrText xml:space="preserve"> HYPERLINK "mailto:wangshiyuan@chinamobile.com" </w:instrText>
      </w:r>
      <w:r>
        <w:fldChar w:fldCharType="separate"/>
      </w:r>
      <w:r>
        <w:rPr>
          <w:rFonts w:ascii="Arial" w:hAnsi="Arial" w:eastAsia="宋体" w:cs="Arial"/>
          <w:bCs/>
          <w:color w:val="0000FF"/>
          <w:sz w:val="20"/>
          <w:szCs w:val="20"/>
          <w:u w:val="single"/>
          <w:lang w:val="en-GB" w:eastAsia="en-US"/>
        </w:rPr>
        <w:t>wangshiyuan@chinamobile.com</w:t>
      </w:r>
      <w:r>
        <w:rPr>
          <w:rFonts w:ascii="Arial" w:hAnsi="Arial" w:eastAsia="宋体" w:cs="Arial"/>
          <w:bCs/>
          <w:color w:val="0000FF"/>
          <w:sz w:val="20"/>
          <w:szCs w:val="20"/>
          <w:u w:val="single"/>
          <w:lang w:val="en-GB" w:eastAsia="en-US"/>
        </w:rPr>
        <w:fldChar w:fldCharType="end"/>
      </w:r>
    </w:p>
    <w:p>
      <w:pPr>
        <w:tabs>
          <w:tab w:val="left" w:pos="2268"/>
        </w:tabs>
        <w:rPr>
          <w:rFonts w:ascii="Arial" w:hAnsi="Arial" w:eastAsia="等线" w:cs="Arial"/>
          <w:bCs/>
          <w:sz w:val="20"/>
        </w:rPr>
      </w:pPr>
      <w:r>
        <w:rPr>
          <w:rFonts w:ascii="Arial" w:hAnsi="Arial" w:eastAsia="等线" w:cs="Arial"/>
          <w:bCs/>
          <w:sz w:val="20"/>
        </w:rPr>
        <w:tab/>
      </w:r>
    </w:p>
    <w:p>
      <w:pPr>
        <w:pBdr>
          <w:bottom w:val="single" w:color="auto" w:sz="4" w:space="1"/>
        </w:pBdr>
        <w:rPr>
          <w:rFonts w:ascii="Arial" w:hAnsi="Arial" w:eastAsia="等线" w:cs="Arial"/>
          <w:sz w:val="20"/>
        </w:rPr>
      </w:pPr>
    </w:p>
    <w:p>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pPr>
        <w:rPr>
          <w:rFonts w:ascii="Arial" w:hAnsi="Arial" w:eastAsia="等线" w:cs="Arial"/>
          <w:sz w:val="20"/>
        </w:rPr>
      </w:pPr>
    </w:p>
    <w:p>
      <w:pPr>
        <w:spacing w:after="120"/>
        <w:rPr>
          <w:rFonts w:ascii="Arial" w:hAnsi="Arial" w:eastAsia="等线" w:cs="Arial"/>
          <w:b/>
          <w:sz w:val="20"/>
        </w:rPr>
      </w:pPr>
      <w:r>
        <w:rPr>
          <w:rFonts w:ascii="Arial" w:hAnsi="Arial" w:eastAsia="等线" w:cs="Arial"/>
          <w:b/>
          <w:sz w:val="20"/>
        </w:rPr>
        <w:t>1. Overall Description:</w:t>
      </w:r>
    </w:p>
    <w:p>
      <w:pPr>
        <w:spacing w:after="312" w:afterLines="100"/>
        <w:jc w:val="both"/>
        <w:rPr>
          <w:rFonts w:hint="eastAsia" w:ascii="Arial" w:hAnsi="Arial" w:eastAsia="等线" w:cs="Arial"/>
          <w:sz w:val="20"/>
        </w:rPr>
      </w:pPr>
      <w:r>
        <w:rPr>
          <w:rFonts w:hint="eastAsia" w:ascii="Arial" w:hAnsi="Arial" w:eastAsia="等线" w:cs="Arial"/>
          <w:sz w:val="20"/>
          <w:lang w:val="en-US" w:eastAsia="zh-CN"/>
        </w:rPr>
        <w:t>In the reply LS R1-2308531, RAN1 mentioned that</w:t>
      </w:r>
      <w:r>
        <w:rPr>
          <w:rFonts w:hint="eastAsia" w:ascii="Arial" w:hAnsi="Arial" w:eastAsia="等线" w:cs="Arial"/>
          <w:sz w:val="20"/>
        </w:rPr>
        <w:t xml:space="preserve"> RAN1 has not discussed other UE features from Rel-17/18 NTN, e.g. Koffset (FG26-1), TA reporting (FG 26-4) and UE-specific koffset (26-9), which can be considered in the future discussions of new ATG UE features. </w:t>
      </w:r>
    </w:p>
    <w:p>
      <w:pPr>
        <w:spacing w:after="312" w:afterLines="100"/>
        <w:jc w:val="both"/>
        <w:rPr>
          <w:rFonts w:hint="eastAsia" w:ascii="Arial" w:hAnsi="Arial" w:eastAsia="等线" w:cs="Arial"/>
          <w:sz w:val="20"/>
          <w:lang w:val="en-US" w:eastAsia="zh-CN"/>
        </w:rPr>
      </w:pPr>
      <w:r>
        <w:rPr>
          <w:rFonts w:hint="eastAsia" w:ascii="Arial" w:hAnsi="Arial" w:eastAsia="等线" w:cs="Arial"/>
          <w:sz w:val="20"/>
          <w:lang w:val="en-US" w:eastAsia="zh-CN"/>
        </w:rPr>
        <w:t>After the discussion of new ATG UE features in RAN4, RAN4 agreed following Layer-1/2/3 features should be introduced as new ATG UE features.</w:t>
      </w:r>
    </w:p>
    <w:p>
      <w:pPr>
        <w:spacing w:after="312" w:afterLines="100"/>
        <w:jc w:val="both"/>
        <w:rPr>
          <w:rFonts w:hint="default" w:ascii="Arial" w:hAnsi="Arial" w:eastAsia="等线" w:cs="Arial"/>
          <w:color w:val="auto"/>
          <w:sz w:val="20"/>
          <w:highlight w:val="none"/>
          <w:lang w:val="en-US" w:eastAsia="zh-CN"/>
        </w:rPr>
      </w:pPr>
      <w:r>
        <w:rPr>
          <w:rFonts w:hint="eastAsia" w:ascii="Arial" w:hAnsi="Arial" w:eastAsia="等线" w:cs="Arial"/>
          <w:color w:val="auto"/>
          <w:sz w:val="20"/>
          <w:highlight w:val="none"/>
          <w:lang w:val="en-US" w:eastAsia="zh-CN"/>
        </w:rPr>
        <w:t>Besides, RAN4 discussed the details of ATG k</w:t>
      </w:r>
      <w:r>
        <w:rPr>
          <w:rFonts w:hint="eastAsia" w:ascii="Arial" w:hAnsi="Arial" w:eastAsia="等线" w:cs="Arial"/>
          <w:color w:val="auto"/>
          <w:sz w:val="20"/>
          <w:highlight w:val="none"/>
          <w:vertAlign w:val="subscript"/>
          <w:lang w:val="en-US" w:eastAsia="zh-CN"/>
        </w:rPr>
        <w:t>offset</w:t>
      </w:r>
      <w:r>
        <w:rPr>
          <w:rFonts w:hint="eastAsia" w:ascii="Arial" w:hAnsi="Arial" w:eastAsia="等线" w:cs="Arial"/>
          <w:color w:val="auto"/>
          <w:sz w:val="20"/>
          <w:highlight w:val="none"/>
          <w:lang w:val="en-US" w:eastAsia="zh-CN"/>
        </w:rPr>
        <w:t xml:space="preserve"> mechanism, the following agreement has been achieved: </w:t>
      </w:r>
    </w:p>
    <w:p>
      <w:pPr>
        <w:numPr>
          <w:ilvl w:val="0"/>
          <w:numId w:val="3"/>
        </w:numPr>
        <w:spacing w:after="312" w:afterLines="100"/>
        <w:ind w:left="420" w:leftChars="0" w:hanging="420" w:firstLineChars="0"/>
        <w:jc w:val="both"/>
        <w:rPr>
          <w:rFonts w:hint="eastAsia" w:ascii="Arial" w:hAnsi="Arial" w:eastAsia="等线" w:cs="Arial"/>
          <w:color w:val="auto"/>
          <w:sz w:val="20"/>
          <w:highlight w:val="none"/>
          <w:lang w:val="en-US" w:eastAsia="zh-CN"/>
        </w:rPr>
      </w:pPr>
      <w:r>
        <w:rPr>
          <w:rFonts w:hint="eastAsia" w:ascii="Arial" w:hAnsi="Arial" w:eastAsia="等线" w:cs="Arial"/>
          <w:color w:val="auto"/>
          <w:sz w:val="20"/>
          <w:highlight w:val="none"/>
          <w:lang w:val="en-US" w:eastAsia="zh-CN"/>
        </w:rPr>
        <w:t>The k</w:t>
      </w:r>
      <w:r>
        <w:rPr>
          <w:rFonts w:hint="eastAsia" w:ascii="Arial" w:hAnsi="Arial" w:eastAsia="等线" w:cs="Arial"/>
          <w:color w:val="auto"/>
          <w:sz w:val="20"/>
          <w:highlight w:val="none"/>
          <w:vertAlign w:val="subscript"/>
          <w:lang w:val="en-US" w:eastAsia="zh-CN"/>
        </w:rPr>
        <w:t>offset</w:t>
      </w:r>
      <w:r>
        <w:rPr>
          <w:rFonts w:hint="eastAsia" w:ascii="Arial" w:hAnsi="Arial" w:eastAsia="等线" w:cs="Arial"/>
          <w:color w:val="auto"/>
          <w:sz w:val="20"/>
          <w:highlight w:val="none"/>
          <w:lang w:val="en-US" w:eastAsia="zh-CN"/>
        </w:rPr>
        <w:t xml:space="preserve"> mechanism (i.e. cell-specific k</w:t>
      </w:r>
      <w:r>
        <w:rPr>
          <w:rFonts w:hint="eastAsia" w:ascii="Arial" w:hAnsi="Arial" w:eastAsia="等线" w:cs="Arial"/>
          <w:color w:val="auto"/>
          <w:sz w:val="20"/>
          <w:highlight w:val="none"/>
          <w:vertAlign w:val="subscript"/>
          <w:lang w:val="en-US" w:eastAsia="zh-CN"/>
        </w:rPr>
        <w:t>offset</w:t>
      </w:r>
      <w:r>
        <w:rPr>
          <w:rFonts w:hint="eastAsia" w:ascii="Arial" w:hAnsi="Arial" w:eastAsia="等线" w:cs="Arial"/>
          <w:color w:val="auto"/>
          <w:sz w:val="20"/>
          <w:highlight w:val="none"/>
          <w:lang w:val="en-US" w:eastAsia="zh-CN"/>
        </w:rPr>
        <w:t>) should be supported in R18 ATG.</w:t>
      </w:r>
    </w:p>
    <w:p>
      <w:pPr>
        <w:numPr>
          <w:ilvl w:val="0"/>
          <w:numId w:val="3"/>
        </w:numPr>
        <w:spacing w:after="312" w:afterLines="100"/>
        <w:ind w:left="420" w:leftChars="0" w:hanging="420" w:firstLineChars="0"/>
        <w:jc w:val="both"/>
        <w:rPr>
          <w:rFonts w:hint="eastAsia" w:ascii="Arial" w:hAnsi="Arial" w:eastAsia="等线" w:cs="Arial"/>
          <w:color w:val="auto"/>
          <w:sz w:val="20"/>
          <w:highlight w:val="none"/>
          <w:lang w:val="en-US" w:eastAsia="zh-CN"/>
        </w:rPr>
      </w:pPr>
      <w:r>
        <w:rPr>
          <w:rFonts w:hint="eastAsia" w:ascii="Arial" w:hAnsi="Arial" w:eastAsia="等线" w:cs="Arial"/>
          <w:color w:val="auto"/>
          <w:sz w:val="20"/>
          <w:highlight w:val="none"/>
          <w:lang w:val="en-US" w:eastAsia="zh-CN"/>
        </w:rPr>
        <w:t>The maximum value of cell-specific k</w:t>
      </w:r>
      <w:r>
        <w:rPr>
          <w:rFonts w:hint="eastAsia" w:ascii="Arial" w:hAnsi="Arial" w:eastAsia="等线" w:cs="Arial"/>
          <w:color w:val="auto"/>
          <w:sz w:val="20"/>
          <w:highlight w:val="none"/>
          <w:vertAlign w:val="subscript"/>
          <w:lang w:val="en-US" w:eastAsia="zh-CN"/>
        </w:rPr>
        <w:t>offset</w:t>
      </w:r>
      <w:r>
        <w:rPr>
          <w:rFonts w:hint="eastAsia" w:ascii="Arial" w:hAnsi="Arial" w:eastAsia="等线" w:cs="Arial"/>
          <w:color w:val="auto"/>
          <w:sz w:val="20"/>
          <w:highlight w:val="none"/>
          <w:lang w:val="en-US" w:eastAsia="zh-CN"/>
        </w:rPr>
        <w:t xml:space="preserve"> (unit: slot of 15kHz SCS) should cover 3ms (3 slots) in ATG scenario</w:t>
      </w:r>
    </w:p>
    <w:p>
      <w:pPr>
        <w:autoSpaceDE w:val="0"/>
        <w:autoSpaceDN w:val="0"/>
        <w:snapToGrid w:val="0"/>
        <w:spacing w:after="312" w:afterLines="100"/>
        <w:contextualSpacing/>
        <w:jc w:val="both"/>
        <w:rPr>
          <w:rFonts w:eastAsia="等线" w:cs="Courier New"/>
          <w:sz w:val="20"/>
        </w:rPr>
      </w:pPr>
    </w:p>
    <w:p>
      <w:pPr>
        <w:tabs>
          <w:tab w:val="left" w:pos="1134"/>
        </w:tabs>
        <w:spacing w:before="156" w:beforeLines="50" w:after="180"/>
        <w:jc w:val="both"/>
        <w:rPr>
          <w:rFonts w:ascii="Arial" w:hAnsi="Arial" w:eastAsia="等线" w:cs="Arial"/>
          <w:iCs/>
          <w:sz w:val="20"/>
        </w:rPr>
      </w:pPr>
      <w:r>
        <w:rPr>
          <w:rFonts w:hint="eastAsia" w:ascii="Arial" w:hAnsi="Arial" w:eastAsia="等线" w:cs="Arial"/>
          <w:b/>
          <w:bCs/>
          <w:iCs/>
          <w:sz w:val="20"/>
        </w:rPr>
        <w:t>[</w:t>
      </w:r>
      <w:r>
        <w:rPr>
          <w:rFonts w:ascii="Arial" w:hAnsi="Arial" w:eastAsia="等线" w:cs="Arial"/>
          <w:b/>
          <w:bCs/>
          <w:iCs/>
          <w:sz w:val="20"/>
        </w:rPr>
        <w:t>RAN4]</w:t>
      </w:r>
      <w:r>
        <w:rPr>
          <w:rFonts w:ascii="Arial" w:hAnsi="Arial" w:eastAsia="等线" w:cs="Arial"/>
          <w:iCs/>
          <w:sz w:val="20"/>
        </w:rPr>
        <w:t xml:space="preserve"> </w:t>
      </w:r>
    </w:p>
    <w:p>
      <w:pPr>
        <w:tabs>
          <w:tab w:val="left" w:pos="1134"/>
        </w:tabs>
        <w:spacing w:before="156" w:beforeLines="50" w:after="180"/>
        <w:jc w:val="both"/>
        <w:rPr>
          <w:rFonts w:hint="eastAsia" w:ascii="Arial" w:hAnsi="Arial" w:eastAsia="等线" w:cs="Arial"/>
          <w:iCs/>
          <w:sz w:val="20"/>
          <w:lang w:val="en-US" w:eastAsia="zh-CN"/>
        </w:rPr>
      </w:pPr>
      <w:r>
        <w:rPr>
          <w:rFonts w:hint="eastAsia" w:ascii="Arial" w:hAnsi="Arial" w:eastAsia="等线" w:cs="Arial"/>
          <w:iCs/>
          <w:sz w:val="20"/>
          <w:lang w:val="en-US" w:eastAsia="zh-CN"/>
        </w:rPr>
        <w:t>Following Layer-1 new ATG UE features should be introduced.</w:t>
      </w: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Feature group</w:t>
            </w:r>
          </w:p>
        </w:tc>
        <w:tc>
          <w:tcPr>
            <w:tcW w:w="5103" w:type="dxa"/>
            <w:shd w:val="clear" w:color="auto" w:fill="auto"/>
          </w:tcPr>
          <w:p>
            <w:pPr>
              <w:keepNext/>
              <w:keepLines/>
              <w:overflowPunct w:val="0"/>
              <w:autoSpaceDE w:val="0"/>
              <w:autoSpaceDN w:val="0"/>
              <w:adjustRightInd w:val="0"/>
              <w:jc w:val="center"/>
              <w:textAlignment w:val="baseline"/>
              <w:rPr>
                <w:b/>
                <w:color w:val="000000"/>
                <w:sz w:val="20"/>
                <w:szCs w:val="20"/>
                <w:highlight w:val="none"/>
                <w:lang w:eastAsia="zh-CN"/>
              </w:rPr>
            </w:pPr>
            <w:r>
              <w:rPr>
                <w:rFonts w:eastAsia="Times New Roman"/>
                <w:b/>
                <w:color w:val="000000"/>
                <w:sz w:val="20"/>
                <w:szCs w:val="20"/>
                <w:highlight w:val="none"/>
              </w:rPr>
              <w:t>Components</w:t>
            </w:r>
          </w:p>
          <w:p>
            <w:pPr>
              <w:keepNext/>
              <w:keepLines/>
              <w:overflowPunct w:val="0"/>
              <w:autoSpaceDE w:val="0"/>
              <w:autoSpaceDN w:val="0"/>
              <w:adjustRightInd w:val="0"/>
              <w:jc w:val="center"/>
              <w:textAlignment w:val="baseline"/>
              <w:rPr>
                <w:b/>
                <w:color w:val="000000"/>
                <w:sz w:val="20"/>
                <w:szCs w:val="20"/>
                <w:highlight w:val="none"/>
                <w:lang w:eastAsia="zh-CN"/>
              </w:rPr>
            </w:pPr>
          </w:p>
        </w:tc>
        <w:tc>
          <w:tcPr>
            <w:tcW w:w="156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Gulim"/>
                <w:b/>
                <w:color w:val="000000"/>
                <w:sz w:val="20"/>
                <w:szCs w:val="20"/>
                <w:highlight w:val="none"/>
              </w:rPr>
              <w:t xml:space="preserve">Applicable to </w:t>
            </w:r>
            <w:r>
              <w:rPr>
                <w:rFonts w:eastAsia="Times New Roman"/>
                <w:b/>
                <w:color w:val="000000"/>
                <w:sz w:val="20"/>
                <w:szCs w:val="20"/>
                <w:highlight w:val="none"/>
              </w:rPr>
              <w:t>the capability signalling exchange between UEs (V2X WI only)”.</w:t>
            </w:r>
          </w:p>
        </w:tc>
        <w:tc>
          <w:tcPr>
            <w:tcW w:w="1417" w:type="dxa"/>
          </w:tcPr>
          <w:p>
            <w:pPr>
              <w:keepNext/>
              <w:keepLines/>
              <w:rPr>
                <w:b/>
                <w:color w:val="000000"/>
                <w:sz w:val="20"/>
                <w:szCs w:val="20"/>
                <w:highlight w:val="none"/>
              </w:rPr>
            </w:pPr>
            <w:r>
              <w:rPr>
                <w:b/>
                <w:color w:val="000000"/>
                <w:sz w:val="20"/>
                <w:szCs w:val="20"/>
                <w:highlight w:val="none"/>
              </w:rPr>
              <w:t>Consequence if the feature is not supported by the UE</w:t>
            </w:r>
          </w:p>
        </w:tc>
        <w:tc>
          <w:tcPr>
            <w:tcW w:w="1276" w:type="dxa"/>
            <w:shd w:val="clear" w:color="auto" w:fill="auto"/>
          </w:tcPr>
          <w:p>
            <w:pPr>
              <w:keepNext/>
              <w:keepLines/>
              <w:rPr>
                <w:b/>
                <w:color w:val="000000"/>
                <w:sz w:val="20"/>
                <w:szCs w:val="20"/>
                <w:highlight w:val="none"/>
              </w:rPr>
            </w:pPr>
            <w:r>
              <w:rPr>
                <w:b/>
                <w:color w:val="000000"/>
                <w:sz w:val="20"/>
                <w:szCs w:val="20"/>
                <w:highlight w:val="none"/>
              </w:rPr>
              <w:t>Type</w:t>
            </w:r>
          </w:p>
          <w:p>
            <w:pPr>
              <w:keepNext/>
              <w:keepLines/>
              <w:rPr>
                <w:b/>
                <w:color w:val="000000"/>
                <w:sz w:val="20"/>
                <w:szCs w:val="20"/>
                <w:highlight w:val="none"/>
              </w:rPr>
            </w:pPr>
            <w:r>
              <w:rPr>
                <w:b/>
                <w:color w:val="000000"/>
                <w:sz w:val="20"/>
                <w:szCs w:val="20"/>
                <w:highlight w:val="none"/>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of FR1/FR2 differentiation</w:t>
            </w:r>
          </w:p>
        </w:tc>
        <w:tc>
          <w:tcPr>
            <w:tcW w:w="1842" w:type="dxa"/>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none"/>
                <w:lang w:val="en-US" w:eastAsia="en-GB"/>
              </w:rPr>
            </w:pPr>
            <w:r>
              <w:rPr>
                <w:rFonts w:eastAsiaTheme="minorEastAsia"/>
                <w:color w:val="000000"/>
                <w:sz w:val="20"/>
                <w:szCs w:val="20"/>
                <w:highlight w:val="none"/>
                <w:lang w:val="en-US" w:eastAsia="zh-CN"/>
              </w:rPr>
              <w:t>Uplink Time and Frequency pre-compensation and timing relationship enhancements</w:t>
            </w:r>
          </w:p>
        </w:tc>
        <w:tc>
          <w:tcPr>
            <w:tcW w:w="510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Support of UE specific TA calculation based on its GNSS-acquired position and the indicated BS location.</w:t>
            </w:r>
          </w:p>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For TA update in RRC_CONNECTED state, support of combination of both open (i.e. UE autonomous TA estimation) and closed (i.e., received TA commands) control loops.</w:t>
            </w:r>
          </w:p>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Support of pre-compensation of the calculated TA in its uplink transmissions</w:t>
            </w:r>
          </w:p>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Support of frequency pre-compensation to counter shift the Doppler experienced on the service link.</w:t>
            </w:r>
          </w:p>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Support of determining timing of the scheduling of PUSCH, PUCCH and PDCCH ordered PRACH, CSI reference resource, transmission of aperiodic SRS activation of TA command, first PUSCH transmission in CG Type 2 with cell-specific K_offset if indicated.</w:t>
            </w:r>
          </w:p>
          <w:p>
            <w:pPr>
              <w:keepNext/>
              <w:keepLines/>
              <w:rPr>
                <w:rFonts w:eastAsiaTheme="minorEastAsia"/>
                <w:color w:val="000000"/>
                <w:sz w:val="20"/>
                <w:szCs w:val="20"/>
                <w:highlight w:val="none"/>
                <w:lang w:val="en-US" w:eastAsia="en-GB"/>
              </w:rPr>
            </w:pPr>
            <w:r>
              <w:rPr>
                <w:rFonts w:eastAsiaTheme="minorEastAsia"/>
                <w:color w:val="000000"/>
                <w:sz w:val="20"/>
                <w:szCs w:val="20"/>
                <w:highlight w:val="none"/>
                <w:lang w:val="en-US" w:eastAsia="zh-CN"/>
              </w:rPr>
              <w:t>Support of UE receiving cell-specific K_offset in system information.</w:t>
            </w:r>
          </w:p>
        </w:tc>
        <w:tc>
          <w:tcPr>
            <w:tcW w:w="1560" w:type="dxa"/>
            <w:shd w:val="clear" w:color="auto" w:fill="auto"/>
          </w:tcPr>
          <w:p>
            <w:pPr>
              <w:keepNext/>
              <w:keepLines/>
              <w:rPr>
                <w:rFonts w:eastAsiaTheme="minorEastAsia"/>
                <w:color w:val="000000"/>
                <w:sz w:val="20"/>
                <w:szCs w:val="20"/>
                <w:highlight w:val="none"/>
                <w:lang w:val="en-US" w:eastAsia="zh-CN"/>
              </w:rPr>
            </w:pPr>
          </w:p>
        </w:tc>
        <w:tc>
          <w:tcPr>
            <w:tcW w:w="1134"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Y</w:t>
            </w:r>
            <w:r>
              <w:rPr>
                <w:rFonts w:eastAsiaTheme="minorEastAsia"/>
                <w:color w:val="000000"/>
                <w:sz w:val="20"/>
                <w:szCs w:val="20"/>
                <w:highlight w:val="none"/>
                <w:lang w:val="en-US" w:eastAsia="zh-CN"/>
              </w:rPr>
              <w:t>es</w:t>
            </w:r>
          </w:p>
        </w:tc>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417" w:type="dxa"/>
          </w:tcPr>
          <w:p>
            <w:pPr>
              <w:keepNext/>
              <w:keepLines/>
              <w:rPr>
                <w:rFonts w:eastAsiaTheme="minorEastAsia"/>
                <w:color w:val="000000"/>
                <w:sz w:val="20"/>
                <w:szCs w:val="20"/>
                <w:highlight w:val="none"/>
                <w:lang w:val="en-US" w:eastAsia="zh-CN"/>
              </w:rPr>
            </w:pPr>
            <w:r>
              <w:rPr>
                <w:color w:val="000000"/>
                <w:sz w:val="20"/>
                <w:szCs w:val="20"/>
                <w:highlight w:val="none"/>
                <w:lang w:val="en-US" w:eastAsia="zh-CN"/>
              </w:rPr>
              <w:t>If UE does not support this feature, the performance of ATG UE cannot be guaranteed due to the large propagation delay.</w:t>
            </w:r>
          </w:p>
        </w:tc>
        <w:tc>
          <w:tcPr>
            <w:tcW w:w="1276" w:type="dxa"/>
            <w:shd w:val="clear" w:color="auto" w:fill="auto"/>
          </w:tcPr>
          <w:p>
            <w:pPr>
              <w:keepNext/>
              <w:keepLines/>
              <w:spacing w:after="0"/>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Per UE</w:t>
            </w:r>
          </w:p>
        </w:tc>
        <w:tc>
          <w:tcPr>
            <w:tcW w:w="992"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No</w:t>
            </w:r>
          </w:p>
        </w:tc>
        <w:tc>
          <w:tcPr>
            <w:tcW w:w="99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FR1 only</w:t>
            </w:r>
          </w:p>
        </w:tc>
        <w:tc>
          <w:tcPr>
            <w:tcW w:w="1842" w:type="dxa"/>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843" w:type="dxa"/>
            <w:shd w:val="clear" w:color="auto" w:fill="auto"/>
          </w:tcPr>
          <w:p>
            <w:pPr>
              <w:keepNext/>
              <w:keepLines/>
              <w:rPr>
                <w:rFonts w:eastAsiaTheme="minorEastAsia"/>
                <w:color w:val="000000"/>
                <w:sz w:val="20"/>
                <w:szCs w:val="20"/>
                <w:highlight w:val="none"/>
                <w:lang w:val="en-US" w:eastAsia="zh-CN"/>
              </w:rPr>
            </w:pPr>
          </w:p>
        </w:tc>
        <w:tc>
          <w:tcPr>
            <w:tcW w:w="1276"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Mandatory with capability signaling for UE supports NR communication via ATG</w:t>
            </w:r>
          </w:p>
          <w:p>
            <w:pPr>
              <w:keepNext/>
              <w:keepLines/>
              <w:rPr>
                <w:rFonts w:eastAsiaTheme="minorEastAsia"/>
                <w:color w:val="000000"/>
                <w:sz w:val="20"/>
                <w:szCs w:val="20"/>
                <w:highlight w:val="none"/>
                <w:lang w:val="en-US" w:eastAsia="zh-CN"/>
              </w:rPr>
            </w:pPr>
          </w:p>
          <w:p>
            <w:pPr>
              <w:keepNext/>
              <w:keepLines/>
              <w:rPr>
                <w:rFonts w:eastAsiaTheme="minorEastAsia"/>
                <w:color w:val="000000"/>
                <w:sz w:val="20"/>
                <w:szCs w:val="20"/>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UE reporting of TA information</w:t>
            </w:r>
          </w:p>
        </w:tc>
        <w:tc>
          <w:tcPr>
            <w:tcW w:w="510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Support UE reporting of TA information</w:t>
            </w:r>
          </w:p>
        </w:tc>
        <w:tc>
          <w:tcPr>
            <w:tcW w:w="1560"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[Uplink Time and Frequency pre-compensation and timing relationship enhancements]</w:t>
            </w:r>
          </w:p>
        </w:tc>
        <w:tc>
          <w:tcPr>
            <w:tcW w:w="1134"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Y</w:t>
            </w:r>
            <w:r>
              <w:rPr>
                <w:rFonts w:eastAsiaTheme="minorEastAsia"/>
                <w:color w:val="000000"/>
                <w:sz w:val="20"/>
                <w:szCs w:val="20"/>
                <w:highlight w:val="none"/>
                <w:lang w:val="en-US" w:eastAsia="zh-CN"/>
              </w:rPr>
              <w:t>es</w:t>
            </w:r>
          </w:p>
        </w:tc>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417" w:type="dxa"/>
          </w:tcPr>
          <w:p>
            <w:pPr>
              <w:keepNext/>
              <w:keepLines/>
              <w:rPr>
                <w:color w:val="000000"/>
                <w:sz w:val="20"/>
                <w:szCs w:val="20"/>
                <w:highlight w:val="none"/>
                <w:lang w:val="en-US" w:eastAsia="zh-CN"/>
              </w:rPr>
            </w:pPr>
            <w:r>
              <w:rPr>
                <w:rFonts w:hint="eastAsia"/>
                <w:color w:val="000000"/>
                <w:sz w:val="20"/>
                <w:szCs w:val="20"/>
                <w:highlight w:val="none"/>
                <w:lang w:val="en-US" w:eastAsia="zh-CN"/>
              </w:rPr>
              <w:t>I</w:t>
            </w:r>
            <w:r>
              <w:rPr>
                <w:color w:val="000000"/>
                <w:sz w:val="20"/>
                <w:szCs w:val="20"/>
                <w:highlight w:val="none"/>
                <w:lang w:val="en-US" w:eastAsia="zh-CN"/>
              </w:rPr>
              <w:t>f UE does not support this feature, UE cannot report the TA information to network.</w:t>
            </w:r>
          </w:p>
        </w:tc>
        <w:tc>
          <w:tcPr>
            <w:tcW w:w="1276" w:type="dxa"/>
            <w:shd w:val="clear" w:color="auto" w:fill="auto"/>
          </w:tcPr>
          <w:p>
            <w:pPr>
              <w:keepNext/>
              <w:keepLines/>
              <w:spacing w:after="0"/>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Per UE</w:t>
            </w:r>
          </w:p>
        </w:tc>
        <w:tc>
          <w:tcPr>
            <w:tcW w:w="992"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No</w:t>
            </w:r>
          </w:p>
        </w:tc>
        <w:tc>
          <w:tcPr>
            <w:tcW w:w="99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FR1 only</w:t>
            </w:r>
          </w:p>
        </w:tc>
        <w:tc>
          <w:tcPr>
            <w:tcW w:w="1842" w:type="dxa"/>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843" w:type="dxa"/>
            <w:shd w:val="clear" w:color="auto" w:fill="auto"/>
          </w:tcPr>
          <w:p>
            <w:pPr>
              <w:keepNext/>
              <w:keepLines/>
              <w:rPr>
                <w:rFonts w:eastAsiaTheme="minorEastAsia"/>
                <w:color w:val="000000"/>
                <w:sz w:val="20"/>
                <w:szCs w:val="20"/>
                <w:highlight w:val="none"/>
                <w:lang w:val="en-US" w:eastAsia="zh-CN"/>
              </w:rPr>
            </w:pPr>
          </w:p>
        </w:tc>
        <w:tc>
          <w:tcPr>
            <w:tcW w:w="1276"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O</w:t>
            </w:r>
            <w:r>
              <w:rPr>
                <w:rFonts w:eastAsiaTheme="minorEastAsia"/>
                <w:color w:val="000000"/>
                <w:sz w:val="20"/>
                <w:szCs w:val="20"/>
                <w:highlight w:val="none"/>
                <w:lang w:val="en-US" w:eastAsia="zh-CN"/>
              </w:rPr>
              <w:t>ptional with capability siganling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Increasing the number of HARQ processes</w:t>
            </w:r>
          </w:p>
        </w:tc>
        <w:tc>
          <w:tcPr>
            <w:tcW w:w="510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The maximal supported HARQ process number is X for UL and Y for DL</w:t>
            </w:r>
          </w:p>
        </w:tc>
        <w:tc>
          <w:tcPr>
            <w:tcW w:w="1560" w:type="dxa"/>
            <w:shd w:val="clear" w:color="auto" w:fill="auto"/>
          </w:tcPr>
          <w:p>
            <w:pPr>
              <w:keepNext/>
              <w:keepLines/>
              <w:rPr>
                <w:rFonts w:eastAsiaTheme="minorEastAsia"/>
                <w:color w:val="000000"/>
                <w:sz w:val="20"/>
                <w:szCs w:val="20"/>
                <w:highlight w:val="none"/>
                <w:lang w:val="en-US" w:eastAsia="zh-CN"/>
              </w:rPr>
            </w:pPr>
          </w:p>
        </w:tc>
        <w:tc>
          <w:tcPr>
            <w:tcW w:w="1134"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Y</w:t>
            </w:r>
            <w:r>
              <w:rPr>
                <w:rFonts w:eastAsiaTheme="minorEastAsia"/>
                <w:color w:val="000000"/>
                <w:sz w:val="20"/>
                <w:szCs w:val="20"/>
                <w:highlight w:val="none"/>
                <w:lang w:val="en-US" w:eastAsia="zh-CN"/>
              </w:rPr>
              <w:t>es</w:t>
            </w:r>
          </w:p>
        </w:tc>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417" w:type="dxa"/>
          </w:tcPr>
          <w:p>
            <w:pPr>
              <w:keepNext/>
              <w:keepLines/>
              <w:rPr>
                <w:color w:val="000000"/>
                <w:sz w:val="20"/>
                <w:szCs w:val="20"/>
                <w:highlight w:val="none"/>
                <w:lang w:val="en-US" w:eastAsia="zh-CN"/>
              </w:rPr>
            </w:pPr>
            <w:r>
              <w:rPr>
                <w:rFonts w:hint="eastAsia"/>
                <w:color w:val="000000"/>
                <w:sz w:val="20"/>
                <w:szCs w:val="20"/>
                <w:highlight w:val="none"/>
                <w:lang w:val="en-US" w:eastAsia="zh-CN"/>
              </w:rPr>
              <w:t>I</w:t>
            </w:r>
            <w:r>
              <w:rPr>
                <w:color w:val="000000"/>
                <w:sz w:val="20"/>
                <w:szCs w:val="20"/>
                <w:highlight w:val="none"/>
                <w:lang w:val="en-US" w:eastAsia="zh-CN"/>
              </w:rPr>
              <w:t xml:space="preserve">f UE does not support this feature, the HARQ process is number is limited. </w:t>
            </w:r>
          </w:p>
        </w:tc>
        <w:tc>
          <w:tcPr>
            <w:tcW w:w="1276" w:type="dxa"/>
            <w:shd w:val="clear" w:color="auto" w:fill="auto"/>
          </w:tcPr>
          <w:p>
            <w:pPr>
              <w:keepNext/>
              <w:keepLines/>
              <w:spacing w:after="0"/>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Per UE</w:t>
            </w:r>
          </w:p>
        </w:tc>
        <w:tc>
          <w:tcPr>
            <w:tcW w:w="992"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No</w:t>
            </w:r>
          </w:p>
        </w:tc>
        <w:tc>
          <w:tcPr>
            <w:tcW w:w="99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FR1 only</w:t>
            </w:r>
          </w:p>
        </w:tc>
        <w:tc>
          <w:tcPr>
            <w:tcW w:w="1842" w:type="dxa"/>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843" w:type="dxa"/>
            <w:shd w:val="clear" w:color="auto" w:fill="auto"/>
          </w:tcPr>
          <w:p>
            <w:pPr>
              <w:keepNext/>
              <w:keepLines/>
              <w:rPr>
                <w:rFonts w:eastAsiaTheme="minorEastAsia"/>
                <w:color w:val="000000"/>
                <w:sz w:val="20"/>
                <w:szCs w:val="20"/>
                <w:highlight w:val="none"/>
                <w:lang w:val="en-US" w:eastAsia="zh-CN"/>
              </w:rPr>
            </w:pPr>
          </w:p>
        </w:tc>
        <w:tc>
          <w:tcPr>
            <w:tcW w:w="1276"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Optional with capability signalling</w:t>
            </w:r>
          </w:p>
          <w:p>
            <w:pPr>
              <w:keepNext/>
              <w:keepLines/>
              <w:rPr>
                <w:rFonts w:eastAsiaTheme="minorEastAsia"/>
                <w:color w:val="00000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K1 range extension</w:t>
            </w:r>
          </w:p>
        </w:tc>
        <w:tc>
          <w:tcPr>
            <w:tcW w:w="510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Support of extended K1 value range of (0..31) for unpaired spectrum</w:t>
            </w:r>
          </w:p>
        </w:tc>
        <w:tc>
          <w:tcPr>
            <w:tcW w:w="1560" w:type="dxa"/>
            <w:shd w:val="clear" w:color="auto" w:fill="auto"/>
          </w:tcPr>
          <w:p>
            <w:pPr>
              <w:keepNext/>
              <w:keepLines/>
              <w:rPr>
                <w:rFonts w:eastAsiaTheme="minorEastAsia"/>
                <w:color w:val="000000"/>
                <w:sz w:val="20"/>
                <w:szCs w:val="20"/>
                <w:highlight w:val="none"/>
                <w:lang w:val="en-US" w:eastAsia="zh-CN"/>
              </w:rPr>
            </w:pPr>
          </w:p>
        </w:tc>
        <w:tc>
          <w:tcPr>
            <w:tcW w:w="1134"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Y</w:t>
            </w:r>
            <w:r>
              <w:rPr>
                <w:rFonts w:eastAsiaTheme="minorEastAsia"/>
                <w:color w:val="000000"/>
                <w:sz w:val="20"/>
                <w:szCs w:val="20"/>
                <w:highlight w:val="none"/>
                <w:lang w:val="en-US" w:eastAsia="zh-CN"/>
              </w:rPr>
              <w:t>es</w:t>
            </w:r>
          </w:p>
        </w:tc>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417" w:type="dxa"/>
          </w:tcPr>
          <w:p>
            <w:pPr>
              <w:keepNext/>
              <w:keepLines/>
              <w:rPr>
                <w:color w:val="000000"/>
                <w:sz w:val="20"/>
                <w:szCs w:val="20"/>
                <w:highlight w:val="none"/>
                <w:lang w:val="en-US" w:eastAsia="zh-CN"/>
              </w:rPr>
            </w:pPr>
            <w:r>
              <w:rPr>
                <w:rFonts w:hint="eastAsia"/>
                <w:color w:val="000000"/>
                <w:sz w:val="20"/>
                <w:szCs w:val="20"/>
                <w:highlight w:val="none"/>
                <w:lang w:val="en-US" w:eastAsia="zh-CN"/>
              </w:rPr>
              <w:t>I</w:t>
            </w:r>
            <w:r>
              <w:rPr>
                <w:color w:val="000000"/>
                <w:sz w:val="20"/>
                <w:szCs w:val="20"/>
                <w:highlight w:val="none"/>
                <w:lang w:val="en-US" w:eastAsia="zh-CN"/>
              </w:rPr>
              <w:t>f UE does not support this feature, K1 value is limited.</w:t>
            </w:r>
          </w:p>
        </w:tc>
        <w:tc>
          <w:tcPr>
            <w:tcW w:w="1276" w:type="dxa"/>
            <w:shd w:val="clear" w:color="auto" w:fill="auto"/>
          </w:tcPr>
          <w:p>
            <w:pPr>
              <w:keepNext/>
              <w:keepLines/>
              <w:spacing w:after="0"/>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Per UE</w:t>
            </w:r>
          </w:p>
        </w:tc>
        <w:tc>
          <w:tcPr>
            <w:tcW w:w="992"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TDD only</w:t>
            </w:r>
          </w:p>
        </w:tc>
        <w:tc>
          <w:tcPr>
            <w:tcW w:w="99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FR1 only</w:t>
            </w:r>
          </w:p>
        </w:tc>
        <w:tc>
          <w:tcPr>
            <w:tcW w:w="1842" w:type="dxa"/>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843" w:type="dxa"/>
            <w:shd w:val="clear" w:color="auto" w:fill="auto"/>
          </w:tcPr>
          <w:p>
            <w:pPr>
              <w:keepNext/>
              <w:keepLines/>
              <w:rPr>
                <w:rFonts w:eastAsiaTheme="minorEastAsia"/>
                <w:color w:val="000000"/>
                <w:sz w:val="20"/>
                <w:szCs w:val="20"/>
                <w:highlight w:val="none"/>
                <w:lang w:val="en-US" w:eastAsia="zh-CN"/>
              </w:rPr>
            </w:pPr>
          </w:p>
        </w:tc>
        <w:tc>
          <w:tcPr>
            <w:tcW w:w="1276"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Optional with capability signalling</w:t>
            </w:r>
          </w:p>
        </w:tc>
      </w:tr>
    </w:tbl>
    <w:p>
      <w:pPr>
        <w:tabs>
          <w:tab w:val="left" w:pos="1134"/>
        </w:tabs>
        <w:spacing w:before="156" w:beforeLines="50" w:after="180"/>
        <w:jc w:val="both"/>
        <w:rPr>
          <w:rFonts w:hint="eastAsia" w:ascii="Arial" w:hAnsi="Arial" w:eastAsia="等线" w:cs="Arial"/>
          <w:iCs/>
          <w:sz w:val="20"/>
          <w:highlight w:val="none"/>
          <w:lang w:val="en-US" w:eastAsia="zh-CN"/>
        </w:rPr>
      </w:pPr>
    </w:p>
    <w:p>
      <w:pPr>
        <w:tabs>
          <w:tab w:val="left" w:pos="1134"/>
        </w:tabs>
        <w:spacing w:before="156" w:beforeLines="50" w:after="180"/>
        <w:jc w:val="both"/>
        <w:rPr>
          <w:rFonts w:hint="eastAsia" w:ascii="Arial" w:hAnsi="Arial" w:eastAsia="等线" w:cs="Arial"/>
          <w:iCs/>
          <w:sz w:val="20"/>
          <w:highlight w:val="none"/>
          <w:lang w:val="en-US" w:eastAsia="zh-CN"/>
        </w:rPr>
      </w:pPr>
      <w:r>
        <w:rPr>
          <w:rFonts w:hint="eastAsia" w:ascii="Arial" w:hAnsi="Arial" w:eastAsia="等线" w:cs="Arial"/>
          <w:iCs/>
          <w:sz w:val="20"/>
          <w:highlight w:val="none"/>
          <w:lang w:val="en-US" w:eastAsia="zh-CN"/>
        </w:rPr>
        <w:t>Following Layer-2 and Layer-3 new ATG UE features should be introduced.</w:t>
      </w:r>
    </w:p>
    <w:tbl>
      <w:tblPr>
        <w:tblStyle w:val="19"/>
        <w:tblW w:w="20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Feature group</w:t>
            </w:r>
          </w:p>
        </w:tc>
        <w:tc>
          <w:tcPr>
            <w:tcW w:w="5103" w:type="dxa"/>
            <w:shd w:val="clear" w:color="auto" w:fill="auto"/>
          </w:tcPr>
          <w:p>
            <w:pPr>
              <w:keepNext/>
              <w:keepLines/>
              <w:overflowPunct w:val="0"/>
              <w:autoSpaceDE w:val="0"/>
              <w:autoSpaceDN w:val="0"/>
              <w:adjustRightInd w:val="0"/>
              <w:jc w:val="center"/>
              <w:textAlignment w:val="baseline"/>
              <w:rPr>
                <w:b/>
                <w:color w:val="000000"/>
                <w:sz w:val="20"/>
                <w:szCs w:val="20"/>
                <w:highlight w:val="none"/>
                <w:lang w:eastAsia="zh-CN"/>
              </w:rPr>
            </w:pPr>
            <w:r>
              <w:rPr>
                <w:rFonts w:eastAsia="Times New Roman"/>
                <w:b/>
                <w:color w:val="000000"/>
                <w:sz w:val="20"/>
                <w:szCs w:val="20"/>
                <w:highlight w:val="none"/>
              </w:rPr>
              <w:t>Components</w:t>
            </w:r>
          </w:p>
          <w:p>
            <w:pPr>
              <w:keepNext/>
              <w:keepLines/>
              <w:overflowPunct w:val="0"/>
              <w:autoSpaceDE w:val="0"/>
              <w:autoSpaceDN w:val="0"/>
              <w:adjustRightInd w:val="0"/>
              <w:jc w:val="center"/>
              <w:textAlignment w:val="baseline"/>
              <w:rPr>
                <w:b/>
                <w:color w:val="000000"/>
                <w:sz w:val="20"/>
                <w:szCs w:val="20"/>
                <w:highlight w:val="none"/>
                <w:lang w:eastAsia="zh-CN"/>
              </w:rPr>
            </w:pPr>
          </w:p>
        </w:tc>
        <w:tc>
          <w:tcPr>
            <w:tcW w:w="1560"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Gulim"/>
                <w:b/>
                <w:color w:val="000000"/>
                <w:sz w:val="20"/>
                <w:szCs w:val="20"/>
                <w:highlight w:val="none"/>
              </w:rPr>
              <w:t xml:space="preserve">Applicable to </w:t>
            </w:r>
            <w:r>
              <w:rPr>
                <w:rFonts w:eastAsia="Times New Roman"/>
                <w:b/>
                <w:color w:val="000000"/>
                <w:sz w:val="20"/>
                <w:szCs w:val="20"/>
                <w:highlight w:val="none"/>
              </w:rPr>
              <w:t>the capability signalling exchange between UEs (V2X WI only)”.</w:t>
            </w:r>
          </w:p>
        </w:tc>
        <w:tc>
          <w:tcPr>
            <w:tcW w:w="1417" w:type="dxa"/>
          </w:tcPr>
          <w:p>
            <w:pPr>
              <w:keepNext/>
              <w:keepLines/>
              <w:rPr>
                <w:b/>
                <w:color w:val="000000"/>
                <w:sz w:val="20"/>
                <w:szCs w:val="20"/>
                <w:highlight w:val="none"/>
              </w:rPr>
            </w:pPr>
            <w:r>
              <w:rPr>
                <w:b/>
                <w:color w:val="000000"/>
                <w:sz w:val="20"/>
                <w:szCs w:val="20"/>
                <w:highlight w:val="none"/>
              </w:rPr>
              <w:t>Consequence if the feature is not supported by the UE</w:t>
            </w:r>
          </w:p>
        </w:tc>
        <w:tc>
          <w:tcPr>
            <w:tcW w:w="1276" w:type="dxa"/>
            <w:shd w:val="clear" w:color="auto" w:fill="auto"/>
          </w:tcPr>
          <w:p>
            <w:pPr>
              <w:keepNext/>
              <w:keepLines/>
              <w:rPr>
                <w:b/>
                <w:color w:val="000000"/>
                <w:sz w:val="20"/>
                <w:szCs w:val="20"/>
                <w:highlight w:val="none"/>
              </w:rPr>
            </w:pPr>
            <w:r>
              <w:rPr>
                <w:b/>
                <w:color w:val="000000"/>
                <w:sz w:val="20"/>
                <w:szCs w:val="20"/>
                <w:highlight w:val="none"/>
              </w:rPr>
              <w:t>Type</w:t>
            </w:r>
          </w:p>
          <w:p>
            <w:pPr>
              <w:keepNext/>
              <w:keepLines/>
              <w:rPr>
                <w:b/>
                <w:color w:val="000000"/>
                <w:sz w:val="20"/>
                <w:szCs w:val="20"/>
                <w:highlight w:val="none"/>
              </w:rPr>
            </w:pPr>
            <w:r>
              <w:rPr>
                <w:b/>
                <w:color w:val="000000"/>
                <w:sz w:val="20"/>
                <w:szCs w:val="20"/>
                <w:highlight w:val="none"/>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Need of FR1/FR2 differentiation</w:t>
            </w:r>
          </w:p>
        </w:tc>
        <w:tc>
          <w:tcPr>
            <w:tcW w:w="1842" w:type="dxa"/>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Note</w:t>
            </w:r>
          </w:p>
        </w:tc>
        <w:tc>
          <w:tcPr>
            <w:tcW w:w="1276" w:type="dxa"/>
            <w:shd w:val="clear" w:color="auto" w:fill="auto"/>
          </w:tcPr>
          <w:p>
            <w:pPr>
              <w:keepNext/>
              <w:keepLines/>
              <w:overflowPunct w:val="0"/>
              <w:autoSpaceDE w:val="0"/>
              <w:autoSpaceDN w:val="0"/>
              <w:adjustRightInd w:val="0"/>
              <w:jc w:val="center"/>
              <w:textAlignment w:val="baseline"/>
              <w:rPr>
                <w:rFonts w:eastAsia="Times New Roman"/>
                <w:b/>
                <w:color w:val="000000"/>
                <w:sz w:val="20"/>
                <w:szCs w:val="20"/>
                <w:highlight w:val="none"/>
              </w:rPr>
            </w:pPr>
            <w:r>
              <w:rPr>
                <w:rFonts w:eastAsia="Times New Roman"/>
                <w:b/>
                <w:color w:val="000000"/>
                <w:sz w:val="20"/>
                <w:szCs w:val="20"/>
                <w:highlight w:val="none"/>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Location based CHO</w:t>
            </w:r>
          </w:p>
        </w:tc>
        <w:tc>
          <w:tcPr>
            <w:tcW w:w="510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Indicates whether the UE supports location based CHO with event A3, A4, A5</w:t>
            </w:r>
          </w:p>
        </w:tc>
        <w:tc>
          <w:tcPr>
            <w:tcW w:w="1560" w:type="dxa"/>
            <w:shd w:val="clear" w:color="auto" w:fill="auto"/>
          </w:tcPr>
          <w:p>
            <w:pPr>
              <w:keepNext/>
              <w:keepLines/>
              <w:rPr>
                <w:rFonts w:eastAsiaTheme="minorEastAsia"/>
                <w:color w:val="000000"/>
                <w:sz w:val="20"/>
                <w:szCs w:val="20"/>
                <w:highlight w:val="none"/>
                <w:lang w:val="en-US" w:eastAsia="zh-CN"/>
              </w:rPr>
            </w:pPr>
          </w:p>
        </w:tc>
        <w:tc>
          <w:tcPr>
            <w:tcW w:w="1134"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Y</w:t>
            </w:r>
            <w:r>
              <w:rPr>
                <w:rFonts w:eastAsiaTheme="minorEastAsia"/>
                <w:color w:val="000000"/>
                <w:sz w:val="20"/>
                <w:szCs w:val="20"/>
                <w:highlight w:val="none"/>
                <w:lang w:val="en-US" w:eastAsia="zh-CN"/>
              </w:rPr>
              <w:t>es</w:t>
            </w:r>
          </w:p>
        </w:tc>
        <w:tc>
          <w:tcPr>
            <w:tcW w:w="1559"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417" w:type="dxa"/>
          </w:tcPr>
          <w:p>
            <w:pPr>
              <w:keepNext/>
              <w:keepLines/>
              <w:rPr>
                <w:rFonts w:eastAsiaTheme="minorEastAsia"/>
                <w:color w:val="000000"/>
                <w:sz w:val="20"/>
                <w:szCs w:val="20"/>
                <w:highlight w:val="none"/>
                <w:lang w:val="en-US" w:eastAsia="zh-CN"/>
              </w:rPr>
            </w:pPr>
            <w:r>
              <w:rPr>
                <w:color w:val="000000"/>
                <w:sz w:val="20"/>
                <w:szCs w:val="20"/>
                <w:highlight w:val="none"/>
                <w:lang w:val="en-US" w:eastAsia="zh-CN"/>
              </w:rPr>
              <w:t>If UE does not support this feature, location based CHO cannot be configured.</w:t>
            </w:r>
          </w:p>
        </w:tc>
        <w:tc>
          <w:tcPr>
            <w:tcW w:w="1276" w:type="dxa"/>
            <w:shd w:val="clear" w:color="auto" w:fill="auto"/>
          </w:tcPr>
          <w:p>
            <w:pPr>
              <w:keepNext/>
              <w:keepLines/>
              <w:spacing w:after="0"/>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Per UE</w:t>
            </w:r>
          </w:p>
        </w:tc>
        <w:tc>
          <w:tcPr>
            <w:tcW w:w="992"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No</w:t>
            </w:r>
          </w:p>
        </w:tc>
        <w:tc>
          <w:tcPr>
            <w:tcW w:w="993" w:type="dxa"/>
            <w:shd w:val="clear" w:color="auto" w:fill="auto"/>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FR1 only</w:t>
            </w:r>
          </w:p>
        </w:tc>
        <w:tc>
          <w:tcPr>
            <w:tcW w:w="1842" w:type="dxa"/>
          </w:tcPr>
          <w:p>
            <w:pPr>
              <w:keepNext/>
              <w:keepLines/>
              <w:rPr>
                <w:rFonts w:eastAsiaTheme="minorEastAsia"/>
                <w:color w:val="000000"/>
                <w:sz w:val="20"/>
                <w:szCs w:val="20"/>
                <w:highlight w:val="none"/>
                <w:lang w:val="en-US" w:eastAsia="zh-CN"/>
              </w:rPr>
            </w:pPr>
            <w:r>
              <w:rPr>
                <w:rFonts w:eastAsiaTheme="minorEastAsia"/>
                <w:color w:val="000000"/>
                <w:sz w:val="20"/>
                <w:szCs w:val="20"/>
                <w:highlight w:val="none"/>
                <w:lang w:val="en-US" w:eastAsia="zh-CN"/>
              </w:rPr>
              <w:t>N/A</w:t>
            </w:r>
          </w:p>
        </w:tc>
        <w:tc>
          <w:tcPr>
            <w:tcW w:w="1843" w:type="dxa"/>
            <w:shd w:val="clear" w:color="auto" w:fill="auto"/>
          </w:tcPr>
          <w:p>
            <w:pPr>
              <w:keepNext/>
              <w:keepLines/>
              <w:rPr>
                <w:rFonts w:eastAsiaTheme="minorEastAsia"/>
                <w:color w:val="000000"/>
                <w:sz w:val="20"/>
                <w:szCs w:val="20"/>
                <w:highlight w:val="none"/>
                <w:lang w:val="en-US" w:eastAsia="zh-CN"/>
              </w:rPr>
            </w:pPr>
          </w:p>
        </w:tc>
        <w:tc>
          <w:tcPr>
            <w:tcW w:w="1276" w:type="dxa"/>
            <w:shd w:val="clear" w:color="auto" w:fill="auto"/>
          </w:tcPr>
          <w:p>
            <w:pPr>
              <w:keepNext/>
              <w:keepLines/>
              <w:rPr>
                <w:rFonts w:eastAsiaTheme="minorEastAsia"/>
                <w:color w:val="000000"/>
                <w:sz w:val="20"/>
                <w:szCs w:val="20"/>
                <w:highlight w:val="none"/>
                <w:lang w:val="en-US" w:eastAsia="zh-CN"/>
              </w:rPr>
            </w:pPr>
            <w:r>
              <w:rPr>
                <w:rFonts w:hint="eastAsia" w:eastAsiaTheme="minorEastAsia"/>
                <w:color w:val="000000"/>
                <w:sz w:val="20"/>
                <w:szCs w:val="20"/>
                <w:highlight w:val="none"/>
                <w:lang w:val="en-US" w:eastAsia="zh-CN"/>
              </w:rPr>
              <w:t>O</w:t>
            </w:r>
            <w:r>
              <w:rPr>
                <w:rFonts w:eastAsiaTheme="minorEastAsia"/>
                <w:color w:val="000000"/>
                <w:sz w:val="20"/>
                <w:szCs w:val="20"/>
                <w:highlight w:val="none"/>
                <w:lang w:val="en-US" w:eastAsia="zh-CN"/>
              </w:rPr>
              <w:t>ptional with capability siganling</w:t>
            </w:r>
          </w:p>
          <w:p>
            <w:pPr>
              <w:keepNext/>
              <w:keepLines/>
              <w:rPr>
                <w:rFonts w:eastAsiaTheme="minorEastAsia"/>
                <w:color w:val="000000"/>
                <w:sz w:val="20"/>
                <w:szCs w:val="20"/>
                <w:highlight w:val="none"/>
                <w:lang w:eastAsia="zh-CN"/>
              </w:rPr>
            </w:pPr>
          </w:p>
        </w:tc>
      </w:tr>
    </w:tbl>
    <w:p>
      <w:pPr>
        <w:tabs>
          <w:tab w:val="left" w:pos="1134"/>
        </w:tabs>
        <w:spacing w:before="156" w:beforeLines="50" w:after="180"/>
        <w:jc w:val="both"/>
        <w:rPr>
          <w:rFonts w:hint="eastAsia" w:ascii="Arial" w:hAnsi="Arial" w:eastAsia="等线" w:cs="Arial"/>
          <w:iCs/>
          <w:sz w:val="20"/>
          <w:lang w:val="en-US" w:eastAsia="zh-CN"/>
        </w:rPr>
      </w:pPr>
    </w:p>
    <w:p>
      <w:pPr>
        <w:spacing w:after="120"/>
        <w:jc w:val="both"/>
        <w:rPr>
          <w:rFonts w:ascii="Arial" w:hAnsi="Arial" w:eastAsia="等线" w:cs="Arial"/>
          <w:b/>
          <w:sz w:val="20"/>
        </w:rPr>
      </w:pPr>
      <w:r>
        <w:rPr>
          <w:rFonts w:ascii="Arial" w:hAnsi="Arial" w:eastAsia="等线" w:cs="Arial"/>
          <w:b/>
          <w:sz w:val="20"/>
        </w:rPr>
        <w:t>2. Actions:</w:t>
      </w:r>
    </w:p>
    <w:p>
      <w:pPr>
        <w:spacing w:after="120"/>
        <w:ind w:left="1985" w:hanging="1985"/>
        <w:jc w:val="both"/>
        <w:rPr>
          <w:rFonts w:hint="eastAsia" w:ascii="Arial" w:hAnsi="Arial" w:eastAsia="等线" w:cs="Arial"/>
          <w:b/>
          <w:color w:val="000000"/>
          <w:sz w:val="20"/>
          <w:lang w:eastAsia="zh-CN"/>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w:t>
      </w:r>
      <w:r>
        <w:rPr>
          <w:rFonts w:hint="eastAsia" w:ascii="Arial" w:hAnsi="Arial" w:eastAsia="等线" w:cs="Arial"/>
          <w:b/>
          <w:color w:val="000000"/>
          <w:sz w:val="20"/>
          <w:lang w:val="en-US" w:eastAsia="zh-CN"/>
        </w:rPr>
        <w:t>1</w:t>
      </w:r>
    </w:p>
    <w:p>
      <w:pPr>
        <w:spacing w:after="120"/>
        <w:ind w:left="993" w:hanging="993"/>
        <w:jc w:val="both"/>
        <w:rPr>
          <w:rFonts w:ascii="Arial" w:hAnsi="Arial" w:eastAsia="等线" w:cs="Arial"/>
          <w:color w:val="000000"/>
          <w:sz w:val="20"/>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lang w:val="en-US" w:eastAsia="zh-CN"/>
        </w:rPr>
        <w:t xml:space="preserve">kindly </w:t>
      </w:r>
      <w:r>
        <w:rPr>
          <w:rFonts w:ascii="Arial" w:hAnsi="Arial" w:eastAsia="等线" w:cs="Arial"/>
          <w:bCs/>
          <w:color w:val="000000"/>
          <w:sz w:val="20"/>
        </w:rPr>
        <w:t>requests RAN</w:t>
      </w:r>
      <w:r>
        <w:rPr>
          <w:rFonts w:hint="eastAsia" w:ascii="Arial" w:hAnsi="Arial" w:eastAsia="等线" w:cs="Arial"/>
          <w:bCs/>
          <w:color w:val="000000"/>
          <w:sz w:val="20"/>
          <w:lang w:val="en-US" w:eastAsia="zh-CN"/>
        </w:rPr>
        <w:t>1</w:t>
      </w:r>
      <w:r>
        <w:rPr>
          <w:rFonts w:ascii="Arial" w:hAnsi="Arial" w:eastAsia="等线" w:cs="Arial"/>
          <w:bCs/>
          <w:color w:val="000000"/>
          <w:sz w:val="20"/>
        </w:rPr>
        <w:t xml:space="preserve"> to </w:t>
      </w:r>
      <w:r>
        <w:rPr>
          <w:rFonts w:hint="eastAsia" w:ascii="Arial" w:hAnsi="Arial" w:eastAsia="等线" w:cs="Arial"/>
          <w:bCs/>
          <w:color w:val="000000"/>
          <w:sz w:val="20"/>
          <w:lang w:val="en-US" w:eastAsia="zh-CN"/>
        </w:rPr>
        <w:t xml:space="preserve">introduce Layer-1 ATG UE features into Rel-18 RAN1 UE feature list with </w:t>
      </w:r>
      <w:r>
        <w:rPr>
          <w:rFonts w:ascii="Arial" w:hAnsi="Arial" w:eastAsia="等线" w:cs="Arial"/>
          <w:bCs/>
          <w:color w:val="000000"/>
          <w:sz w:val="20"/>
        </w:rPr>
        <w:t>tak</w:t>
      </w:r>
      <w:r>
        <w:rPr>
          <w:rFonts w:hint="eastAsia" w:ascii="Arial" w:hAnsi="Arial" w:eastAsia="等线" w:cs="Arial"/>
          <w:bCs/>
          <w:color w:val="000000"/>
          <w:sz w:val="20"/>
          <w:lang w:val="en-US" w:eastAsia="zh-CN"/>
        </w:rPr>
        <w:t>ing</w:t>
      </w:r>
      <w:r>
        <w:rPr>
          <w:rFonts w:ascii="Arial" w:hAnsi="Arial" w:eastAsia="等线" w:cs="Arial"/>
          <w:bCs/>
          <w:color w:val="000000"/>
          <w:sz w:val="20"/>
        </w:rPr>
        <w:t xml:space="preserve"> the above information into consideration.</w:t>
      </w:r>
    </w:p>
    <w:p>
      <w:pPr>
        <w:spacing w:after="120"/>
        <w:ind w:left="1985" w:hanging="1985"/>
        <w:jc w:val="both"/>
        <w:rPr>
          <w:rFonts w:ascii="Arial" w:hAnsi="Arial" w:eastAsia="等线" w:cs="Arial"/>
          <w:b/>
          <w:color w:val="000000"/>
          <w:sz w:val="20"/>
          <w:highlight w:val="none"/>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bookmarkStart w:id="3" w:name="_GoBack"/>
    </w:p>
    <w:p>
      <w:pPr>
        <w:spacing w:after="120"/>
        <w:ind w:left="993" w:hanging="993"/>
        <w:jc w:val="both"/>
        <w:rPr>
          <w:rFonts w:hint="default" w:ascii="Arial" w:hAnsi="Arial" w:eastAsia="等线" w:cs="Arial"/>
          <w:bCs/>
          <w:color w:val="000000"/>
          <w:sz w:val="20"/>
          <w:highlight w:val="none"/>
          <w:lang w:val="en-US" w:eastAsia="zh-CN"/>
        </w:rPr>
      </w:pPr>
      <w:r>
        <w:rPr>
          <w:rFonts w:ascii="Arial" w:hAnsi="Arial" w:eastAsia="等线" w:cs="Arial"/>
          <w:b/>
          <w:color w:val="000000"/>
          <w:sz w:val="20"/>
          <w:highlight w:val="none"/>
        </w:rPr>
        <w:t xml:space="preserve">ACTION: </w:t>
      </w:r>
      <w:r>
        <w:rPr>
          <w:rFonts w:ascii="Arial" w:hAnsi="Arial" w:eastAsia="等线" w:cs="Arial"/>
          <w:b/>
          <w:color w:val="000000"/>
          <w:sz w:val="20"/>
          <w:highlight w:val="none"/>
        </w:rPr>
        <w:tab/>
      </w:r>
      <w:r>
        <w:rPr>
          <w:rFonts w:ascii="Arial" w:hAnsi="Arial" w:eastAsia="等线" w:cs="Arial"/>
          <w:bCs/>
          <w:color w:val="000000"/>
          <w:sz w:val="20"/>
          <w:highlight w:val="none"/>
        </w:rPr>
        <w:t xml:space="preserve">RAN4 </w:t>
      </w:r>
      <w:r>
        <w:rPr>
          <w:rFonts w:hint="eastAsia" w:ascii="Arial" w:hAnsi="Arial" w:eastAsia="等线" w:cs="Arial"/>
          <w:bCs/>
          <w:color w:val="000000"/>
          <w:sz w:val="20"/>
          <w:highlight w:val="none"/>
          <w:lang w:val="en-US" w:eastAsia="zh-CN"/>
        </w:rPr>
        <w:t xml:space="preserve">kindly </w:t>
      </w:r>
      <w:r>
        <w:rPr>
          <w:rFonts w:ascii="Arial" w:hAnsi="Arial" w:eastAsia="等线" w:cs="Arial"/>
          <w:bCs/>
          <w:color w:val="000000"/>
          <w:sz w:val="20"/>
          <w:highlight w:val="none"/>
        </w:rPr>
        <w:t>requests RAN</w:t>
      </w:r>
      <w:r>
        <w:rPr>
          <w:rFonts w:hint="eastAsia" w:ascii="Arial" w:hAnsi="Arial" w:eastAsia="等线" w:cs="Arial"/>
          <w:bCs/>
          <w:color w:val="000000"/>
          <w:sz w:val="20"/>
          <w:highlight w:val="none"/>
          <w:lang w:val="en-US" w:eastAsia="zh-CN"/>
        </w:rPr>
        <w:t>2</w:t>
      </w:r>
      <w:r>
        <w:rPr>
          <w:rFonts w:ascii="Arial" w:hAnsi="Arial" w:eastAsia="等线" w:cs="Arial"/>
          <w:bCs/>
          <w:color w:val="000000"/>
          <w:sz w:val="20"/>
          <w:highlight w:val="none"/>
        </w:rPr>
        <w:t xml:space="preserve"> to </w:t>
      </w:r>
      <w:r>
        <w:rPr>
          <w:rFonts w:hint="eastAsia" w:ascii="Arial" w:hAnsi="Arial" w:eastAsia="等线" w:cs="Arial"/>
          <w:bCs/>
          <w:color w:val="000000"/>
          <w:sz w:val="20"/>
          <w:highlight w:val="none"/>
          <w:lang w:val="en-US" w:eastAsia="zh-CN"/>
        </w:rPr>
        <w:t xml:space="preserve">introduce Layer-2/3 ATG UE features with </w:t>
      </w:r>
      <w:r>
        <w:rPr>
          <w:rFonts w:ascii="Arial" w:hAnsi="Arial" w:eastAsia="等线" w:cs="Arial"/>
          <w:bCs/>
          <w:color w:val="000000"/>
          <w:sz w:val="20"/>
          <w:highlight w:val="none"/>
        </w:rPr>
        <w:t>tak</w:t>
      </w:r>
      <w:r>
        <w:rPr>
          <w:rFonts w:hint="eastAsia" w:ascii="Arial" w:hAnsi="Arial" w:eastAsia="等线" w:cs="Arial"/>
          <w:bCs/>
          <w:color w:val="000000"/>
          <w:sz w:val="20"/>
          <w:highlight w:val="none"/>
          <w:lang w:val="en-US" w:eastAsia="zh-CN"/>
        </w:rPr>
        <w:t>ing</w:t>
      </w:r>
      <w:r>
        <w:rPr>
          <w:rFonts w:ascii="Arial" w:hAnsi="Arial" w:eastAsia="等线" w:cs="Arial"/>
          <w:bCs/>
          <w:color w:val="000000"/>
          <w:sz w:val="20"/>
          <w:highlight w:val="none"/>
        </w:rPr>
        <w:t xml:space="preserve"> the above information into consideration</w:t>
      </w:r>
      <w:r>
        <w:rPr>
          <w:rFonts w:hint="eastAsia" w:ascii="Arial" w:hAnsi="Arial" w:eastAsia="等线" w:cs="Arial"/>
          <w:bCs/>
          <w:color w:val="000000"/>
          <w:sz w:val="20"/>
          <w:highlight w:val="none"/>
          <w:lang w:val="en-US" w:eastAsia="zh-CN"/>
        </w:rPr>
        <w:t>, and introduce UE capabilities of Layer-1/2/3 UE features. In addition, take</w:t>
      </w:r>
      <w:r>
        <w:rPr>
          <w:rFonts w:ascii="Arial" w:hAnsi="Arial" w:cs="Arial"/>
          <w:color w:val="000000"/>
          <w:sz w:val="22"/>
          <w:szCs w:val="22"/>
          <w:highlight w:val="none"/>
        </w:rPr>
        <w:t xml:space="preserve"> the information </w:t>
      </w:r>
      <w:r>
        <w:rPr>
          <w:rFonts w:hint="eastAsia" w:ascii="Arial" w:hAnsi="Arial" w:cs="Arial"/>
          <w:color w:val="000000"/>
          <w:sz w:val="22"/>
          <w:szCs w:val="22"/>
          <w:highlight w:val="none"/>
          <w:lang w:val="en-US" w:eastAsia="zh-CN"/>
        </w:rPr>
        <w:t>of k</w:t>
      </w:r>
      <w:r>
        <w:rPr>
          <w:rFonts w:hint="eastAsia" w:ascii="Arial" w:hAnsi="Arial" w:cs="Arial"/>
          <w:color w:val="000000"/>
          <w:sz w:val="22"/>
          <w:szCs w:val="22"/>
          <w:highlight w:val="none"/>
          <w:vertAlign w:val="subscript"/>
          <w:lang w:val="en-US" w:eastAsia="zh-CN"/>
        </w:rPr>
        <w:t xml:space="preserve">offset </w:t>
      </w:r>
      <w:r>
        <w:rPr>
          <w:rFonts w:ascii="Arial" w:hAnsi="Arial" w:cs="Arial"/>
          <w:color w:val="000000"/>
          <w:sz w:val="22"/>
          <w:szCs w:val="22"/>
          <w:highlight w:val="none"/>
        </w:rPr>
        <w:t>into account.</w:t>
      </w:r>
    </w:p>
    <w:bookmarkEnd w:id="3"/>
    <w:p>
      <w:pPr>
        <w:spacing w:after="120"/>
        <w:ind w:left="993" w:hanging="993"/>
        <w:jc w:val="both"/>
        <w:rPr>
          <w:rFonts w:ascii="Arial" w:hAnsi="Arial" w:eastAsia="等线" w:cs="Arial"/>
          <w:sz w:val="20"/>
        </w:rPr>
      </w:pPr>
    </w:p>
    <w:p>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pPr>
        <w:tabs>
          <w:tab w:val="left" w:pos="4430"/>
        </w:tabs>
        <w:ind w:left="2268" w:hanging="2268"/>
        <w:rPr>
          <w:rFonts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10</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26 Feb</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GB" w:eastAsia="en-US"/>
        </w:rPr>
        <w:t>01 Mar</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4</w:t>
      </w:r>
      <w:r>
        <w:rPr>
          <w:rFonts w:ascii="Arial" w:hAnsi="Arial" w:eastAsia="宋体" w:cs="Arial"/>
          <w:bCs/>
          <w:sz w:val="20"/>
          <w:szCs w:val="20"/>
          <w:lang w:val="en-GB" w:eastAsia="en-US"/>
        </w:rPr>
        <w:tab/>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Athens , GR</w:t>
      </w:r>
    </w:p>
    <w:p>
      <w:pPr>
        <w:tabs>
          <w:tab w:val="left" w:pos="4430"/>
        </w:tabs>
        <w:ind w:left="2268" w:hanging="2268"/>
        <w:rPr>
          <w:rFonts w:hint="eastAsia"/>
          <w:sz w:val="20"/>
          <w:szCs w:val="20"/>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10</w:t>
      </w:r>
      <w:r>
        <w:rPr>
          <w:rFonts w:ascii="Arial" w:hAnsi="Arial" w:eastAsia="宋体" w:cs="Arial"/>
          <w:bCs/>
          <w:sz w:val="20"/>
          <w:szCs w:val="20"/>
          <w:lang w:val="en-GB" w:eastAsia="en-US"/>
        </w:rPr>
        <w:t xml:space="preserve">-bis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 xml:space="preserve">15 Apr </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GB" w:eastAsia="en-US"/>
        </w:rPr>
        <w:t>19 Apr</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4</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eastAsia="宋体" w:cs="Arial"/>
          <w:bCs/>
          <w:sz w:val="20"/>
          <w:szCs w:val="20"/>
          <w:lang w:val="en-GB" w:eastAsia="en-US"/>
        </w:rPr>
        <w:t>China (TBC) , CN</w:t>
      </w:r>
      <w:bookmarkEnd w:id="2"/>
    </w:p>
    <w:sectPr>
      <w:pgSz w:w="23811" w:h="16838" w:orient="landscape"/>
      <w:pgMar w:top="1800" w:right="1440" w:bottom="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Gulim">
    <w:altName w:val="Malgun Gothic"/>
    <w:panose1 w:val="020B0600000101010101"/>
    <w:charset w:val="81"/>
    <w:family w:val="swiss"/>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8CBFD"/>
    <w:multiLevelType w:val="singleLevel"/>
    <w:tmpl w:val="4228CBFD"/>
    <w:lvl w:ilvl="0" w:tentative="0">
      <w:start w:val="1"/>
      <w:numFmt w:val="bullet"/>
      <w:lvlText w:val=""/>
      <w:lvlJc w:val="left"/>
      <w:pPr>
        <w:ind w:left="420" w:hanging="420"/>
      </w:pPr>
      <w:rPr>
        <w:rFonts w:hint="default" w:ascii="Wingdings" w:hAnsi="Wingdings"/>
      </w:rPr>
    </w:lvl>
  </w:abstractNum>
  <w:abstractNum w:abstractNumId="1">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0FB46A68"/>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C3B5B36"/>
    <w:rsid w:val="5C7100A9"/>
    <w:rsid w:val="5E955CAE"/>
    <w:rsid w:val="5F6D60BB"/>
    <w:rsid w:val="5FBE43C5"/>
    <w:rsid w:val="61294965"/>
    <w:rsid w:val="62AD511A"/>
    <w:rsid w:val="642D103F"/>
    <w:rsid w:val="64EB7873"/>
    <w:rsid w:val="65AC69E5"/>
    <w:rsid w:val="65AE50E3"/>
    <w:rsid w:val="662D4818"/>
    <w:rsid w:val="668A66E7"/>
    <w:rsid w:val="670A6572"/>
    <w:rsid w:val="68394942"/>
    <w:rsid w:val="68DB7A9A"/>
    <w:rsid w:val="68E056B2"/>
    <w:rsid w:val="69F7752A"/>
    <w:rsid w:val="69FC7CF7"/>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5</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2023-11-17T06:49:52Z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